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НАЦИОНАЛЬНАЯ КОМИССИЯ ПО УПРАВЛЕНИЮ КРИЗИСАМИ</w:t>
        <w:br/>
        <w:br/>
        <w:t>РЕШЕНИЕ № 8</w:t>
        <w:br/>
        <w:t>от 25 сентября 2026 года</w:t>
      </w:r>
    </w:p>
    <w:p>
      <w:pPr>
        <w:spacing w:before="240" w:line="276" w:lineRule="auto"/>
      </w:pPr>
      <w:r>
        <w:t>На основании положений ч. (3) и (4) ст. 29, ст. 31, 32, 34 и 35 Закона № 248/2025 об управлении кризисными ситуациями (Monitorul Oficial al Republicii Moldova, 2025 г., № 437-440, ст. 600), с последующими изменениями, а также ч. (7) ст. 6 Закона № 461/2001 о рынке нефтепродуктов (переиздан в Monitorul Oficial al Republicii Moldova, 2017 г., № 40-49, ст. 82), with subsequent amendments, во исполнение Постановления Парламента Республики Молдова № 222/2026 об объявлении чрезвычайного положения в энергетическом и гидрологическом секторах (Monitorul Oficial al Republicii Moldova, 2026 г., № 475-476, ст. 493), учитывая полномочия, установленные Положением об организации и функционировании Национальной комиссии по управлению кризисами, утвержденным Постановлением Правительства № 346/2026 (Monitorul Oficial al Republicii Moldova, 2026 г., № 301-304, ст. 369), принимая во внимание констатации, оценки рисков и выводы, сформулированные в Интегрированном отчете о кризисной ситуации в энергетическом и гидрологическом секторах, которые указывают на сохранение и наложение друг на друга серьезных рисков, вызванных деградацией региональной электроэнергетической инфраструктуры в Украине, ограничением твердых коммерческих мощностей по импорту через трансграничные межсистемные соединения (гарантированная NTC составляет всего 360 МВт), высокой волатильностью международных рынков природного газа и топлива, а также экстремальным гидрологическим дефицитом в бассейнах рек Днестр и Прут;</w:t>
        <w:br/>
        <w:br/>
        <w:t>осознавая неизбежное влияние приближения холодного сезона 2026-2027 годов на график нагрузки и настоятельную необходимость обеспечения непрерывности снабжения населения, объектов критической инфраструктуры и жизненно важных государственных служб электроэнергией, природным газом, тепловой энергией и топливом; констатируя, что поддержание стабильности внутреннего рынка и защита экономической и социальной безопасности не могут быть далее реализованы исключительно с помощью обычных административных инструментов или инструментов, специфических для состояния оповещения (alertă), юридическая эффективность и компетенция которых были исчерпаны к 25 сентября 2026 года, с целью введения чрезвычайных мер по управлению кризисом, носящих временный характер, необходимых и соразмерных серьезности введенного чрезвычайного положения, Национальная комиссия по управлению кризисами ПОСТАНОВЛЯЕТ:</w:t>
      </w:r>
    </w:p>
    <w:p>
      <w:pPr>
        <w:spacing w:before="120" w:line="276" w:lineRule="auto"/>
      </w:pPr>
      <w:r>
        <w:t>1. Министерство энергетики назначается органом, ответственным за управление реагированием на кризис в энергетическом секторе, а Национальный центр по управлению кризисами (CNMC) обеспечивает стратегическую координацию и интегрированный мониторинг на национальном уровне. Государственные органы и экономические агенты энергетического и нефтяного секторов ежедневно представляют запрашиваемые оперативные данные и отчеты.</w:t>
      </w:r>
    </w:p>
    <w:p>
      <w:pPr>
        <w:spacing w:before="120" w:line="276" w:lineRule="auto"/>
      </w:pPr>
      <w:r>
        <w:t>2. Устанавливается абсолютный приоритет электроснабжения для медико-санитарных учреждений, экстренных служб и объектов критической инфраструктуры (в частности, станций забора и перекачки питьевой воды и объектов теплоснабжения).</w:t>
      </w:r>
    </w:p>
    <w:p>
      <w:pPr>
        <w:spacing w:before="120" w:line="276" w:lineRule="auto"/>
      </w:pPr>
      <w:r>
        <w:t>3. ГП «Moldelectrica» установит на ноль значения коммерческих трансграничных мощностей межсистемных соединений, доступных для экспорта, в интервале времени 18:00-22:00 (EET) как в распределениях на день вперед, так и во внутридневных, за исключением поставщика, на которого возложено обязательство по оказанию публичных услуг. При возникновении дефицита, не покрываемого за счет коммерческих поставок, ГП «Moldelectrica» будет запрашивать аварийную помощь у соседних системных операторов исключительно в качестве крайней меры, и будет прибегать к применению Норматива ручных отключений, защищая объекты жизненно важного значения.</w:t>
      </w:r>
    </w:p>
    <w:p>
      <w:pPr>
        <w:spacing w:before="120" w:line="276" w:lineRule="auto"/>
      </w:pPr>
      <w:r>
        <w:t>4. На основании распоряжения оператора транспортной системы, в целях снижения дефицита электроэнергии в национальной электроэнергетической системе и увеличения мощности генерации электроэнергии на электростанциях:</w:t>
        <w:br/>
        <w:t>4.1. centralele electrice (городские теплоэлектроцентрали) обеспечат в пределах технических возможностей увеличение выработки электроэнергии в конденсационном режиме до максимального доступного уровня, с соблюдением эксплуатационной безопасности установок;</w:t>
        <w:br/>
        <w:t>4.2. На период действия чрезвычайного положения приостанавливается применение ряда положений Закона № 92/2014 о тепловой энергии и продвижении когенерации, Закона № 164/2025 об электроэнергии, а также Методологии расчета тарифов НАРЭ и Регламента о показателях качества (согласно перечисленным статьям текста). Национальное агентство по регулированию в энергетике (НАРЭ):</w:t>
        <w:br/>
        <w:t>4.2.1. не применяет санкции и штрафы к держателям лицензий в случае, если они увеличивают, вопреки утвержденным температурным графикам, предварительно установленные расчетные значения для каждой системы централизованного теплоснабжения;</w:t>
        <w:br/>
        <w:t>4.2.2. полностью признает при установлении регулируемых цен на производство электроэнергии расходы, связанные с увеличением мощности генерации электроэнергии в конденсационном режиме, включая затраты, связанные с производством неиспользованной в коммерческих целях тепловой энергии, сброшенной в окружающую среду по технологическим причинам.</w:t>
      </w:r>
    </w:p>
    <w:p>
      <w:pPr>
        <w:spacing w:before="120" w:line="276" w:lineRule="auto"/>
      </w:pPr>
      <w:r>
        <w:t>5. При расчете максимальной розничной цены на дизельное топливо стандартного типа НАРЭ будет использовать среднее значение средних котировок Platts CIF Med Cargo и дополнительно включит надбавку в размере 25 долларов США за тонну сверх специфической коммерческой маржи. Применение противоположных положений Общих правил расчета рынка нефтепродуктов приостанавливается на период чрезвычайного положения.</w:t>
      </w:r>
    </w:p>
    <w:p>
      <w:pPr>
        <w:spacing w:before="120" w:line="276" w:lineRule="auto"/>
      </w:pPr>
      <w:r>
        <w:t>6. Приостанавливается на время действия чрезвычайного положения применение Постановления НАРЭ № 426/2026 об изменении специфической коммерческой маржи.</w:t>
      </w:r>
    </w:p>
    <w:p>
      <w:pPr>
        <w:spacing w:before="120" w:line="276" w:lineRule="auto"/>
      </w:pPr>
      <w:r>
        <w:t>7. На период действия чрезвычайного положения разрешается розничная торговля другими видами основных нефтепродуктов, кроме тех, для которых установлены максимальные цены, в случае исчерпания на заправочных станциях запасов основных нефтепродуктов стандартного типа.</w:t>
      </w:r>
    </w:p>
    <w:p>
      <w:pPr>
        <w:spacing w:before="120" w:line="276" w:lineRule="auto"/>
      </w:pPr>
      <w:r>
        <w:t>8. Таможенная служба разрешит экспорт и реэкспорт основных нефтепродуктов стандартного типа из Международного свободного порта «Джурджулешть» (PILG) только в том случае, если хранящиеся объемы превышают лимит в 2 500 тонн для бензина и 7 500 тонн для дизельного топлива.</w:t>
      </w:r>
    </w:p>
    <w:p>
      <w:pPr>
        <w:spacing w:before="120" w:line="276" w:lineRule="auto"/>
      </w:pPr>
      <w:r>
        <w:t>9. В отступление от пункта 8 Таможенная служба разрешит реэкспорт нефтепродуктов из PILG:</w:t>
        <w:br/>
        <w:t>9.1. в целях обеспечения бункеровочных услуг для судов, перевозящих нефтепродукты и имеющих пунктом разгрузки PILG;</w:t>
        <w:br/>
        <w:t>9.2. для товаров, размещенных в PILG с целью перевалки и/или последующего реэкспорта в Украину, независимо от резидентства оператора/трейдера, при условии представления в момент размещения в порту твердых коммерческих контрактов, заключенных до ввоза товаров в порт, подтверждающих направление товаров в Украину.</w:t>
      </w:r>
    </w:p>
    <w:p>
      <w:pPr>
        <w:spacing w:before="120" w:line="276" w:lineRule="auto"/>
      </w:pPr>
      <w:r>
        <w:t>10. Генеральный оператор PILG будет ежедневно представлять Таможенной службе информацию о запасах стандартных нефтепродуктов, хранящихся в порту.</w:t>
      </w:r>
    </w:p>
    <w:p>
      <w:pPr>
        <w:spacing w:before="120" w:line="276" w:lineRule="auto"/>
      </w:pPr>
      <w:r>
        <w:t>11. Основные нефтепродукты стандартного типа, помещенные под таможенный режим выпуска в свободное обращение (импорт), временного хранения и таможенного склада, не могут быть в дальнейшем помещены под режим экспорта/реэкспорта.</w:t>
      </w:r>
    </w:p>
    <w:p>
      <w:pPr>
        <w:spacing w:before="120" w:line="276" w:lineRule="auto"/>
      </w:pPr>
      <w:r>
        <w:t>12. Таможенная служба и Генеральный инспекторат пограничной полиции выделят и введут в действие выделенную полосу доступа в пунктах пропуска через государственную границу для наземных транспортных средств, предназначенных для ввоза в Республику Молдова основных нефтепродуктов стандартного типа.</w:t>
      </w:r>
    </w:p>
    <w:p>
      <w:pPr>
        <w:spacing w:before="120" w:line="276" w:lineRule="auto"/>
      </w:pPr>
      <w:r>
        <w:t>13. ГП «Железная дорога Молдовы» (Calea Ferată din Moldova) обеспечит абсолютный приоритет движения и маневрирования на национальной железнодорожной сети для поездов, перевозящих основные нефтепродукты стандартного типа.</w:t>
      </w:r>
    </w:p>
    <w:p>
      <w:pPr>
        <w:spacing w:before="120" w:line="276" w:lineRule="auto"/>
      </w:pPr>
      <w:r>
        <w:t>14. При розничной продаже дизельного топлива через автозаправочные станции отпуск в потребительскую тару разрешен в количестве не более 40 литров. Устанавливается лимит в 100 литров в случае заправки специализированных мобильных емкостей, предназначенных для снабжения топливом сельскохозяйственной техники. Лицензиаты ежедневно представляют в НАРЭ данные о запасах и еженедельно обновляют планы импорта.</w:t>
      </w:r>
    </w:p>
    <w:p>
      <w:pPr>
        <w:spacing w:before="120" w:line="276" w:lineRule="auto"/>
      </w:pPr>
      <w:r>
        <w:t>15. В целях срочного увеличения генерирующих и балансирующих мощностей электроэнергетической системы владельцам действующих условий подключения (avize de racordare) для электростанций (за исключением фотоэлектрических станций, не имеющих систем накопления) и систем накопления энергии (BESS) разрешается, в виде исключения из строительного законодательства, временное размещение на период чрезвычайного положения соответствующих установок без предварительного получения разрешительных документов в области строительства (PUD, градостроительный сертификат, разрешение на строительство). Для постоянного размещения работы разрешаются незамедлительно при условии доработки проектной документации.</w:t>
      </w:r>
    </w:p>
    <w:p>
      <w:pPr>
        <w:spacing w:before="120" w:line="276" w:lineRule="auto"/>
      </w:pPr>
      <w:r>
        <w:t>16. Системные операторы будут приоритизировать рассмотрение заявлений на выдачу условий подключения для возобновляемых источников (солнечных/ветровых) с компонентом аккумуляторных батарей с минимальной емкостью хранения 0,25 МВтч на каждый 1 МВт мощности генерации.</w:t>
      </w:r>
    </w:p>
    <w:p>
      <w:pPr>
        <w:spacing w:before="120" w:line="276" w:lineRule="auto"/>
      </w:pPr>
      <w:r>
        <w:t>17. Системные операторы ускорят рассмотрение заявок на подключение к сети законченных строительством объектов ВИЭ с накопителями в пределах имеющихся ресурсов.</w:t>
      </w:r>
    </w:p>
    <w:p>
      <w:pPr>
        <w:spacing w:before="120" w:line="276" w:lineRule="auto"/>
      </w:pPr>
      <w:r>
        <w:t>18. Совет по рассмотрению инвестиций, имеющих значение для безопасности государства, обеспечит приоритетное рассмотрение запросов на предварительное одобрение инвестиций, связанных с проектами по производству и хранению электроэнергии.</w:t>
      </w:r>
    </w:p>
    <w:p>
      <w:pPr>
        <w:spacing w:before="120" w:line="276" w:lineRule="auto"/>
      </w:pPr>
      <w:r>
        <w:t>19. На период чрезвычайного положения освобождаются от стандартной процедуры авторизации ветряные и солнечные станции с накопителями на той же площадке, которые должны быть введены в эксплуатацию до окончания чрезвычайного положения.</w:t>
      </w:r>
    </w:p>
    <w:p>
      <w:pPr>
        <w:spacing w:before="120" w:line="276" w:lineRule="auto"/>
      </w:pPr>
      <w:r>
        <w:t>20. Для условий подключения станций ВИЭ и накопителей, срок действия которых истек в июле 2026 года или истекает в период ЧП, операторы систем по запросу возобновят процедуру продления/изменения согласно регламенту НАРЭ.</w:t>
      </w:r>
    </w:p>
    <w:p>
      <w:pPr>
        <w:spacing w:before="120" w:line="276" w:lineRule="auto"/>
      </w:pPr>
      <w:r>
        <w:t>21. Для строящихся мощностей генерации/хранения сроки продлеваются системными операторами на следующих условиях:</w:t>
        <w:br/>
        <w:t>21.1. срок продления не превысит 3 месяцев с даты одобрения без возможности повторного продления;</w:t>
        <w:br/>
        <w:t>21.2. заявитель прилагает письменное обязательство о вводе станции под напряжение в указанный срок.</w:t>
      </w:r>
    </w:p>
    <w:p>
      <w:pPr>
        <w:spacing w:before="120" w:line="276" w:lineRule="auto"/>
      </w:pPr>
      <w:r>
        <w:t>22. В процессе разработки и согласования детальных градостроительных планов (PUD) компетентные органы (перечисленные в тексте министерства и ведомства) обеспечат приоритетное рассмотрение документации.</w:t>
      </w:r>
    </w:p>
    <w:p>
      <w:pPr>
        <w:spacing w:before="120" w:line="276" w:lineRule="auto"/>
      </w:pPr>
      <w:r>
        <w:t>23. Таможенные формальности для оборудования ВИЭ и систем хранения энергии будут осуществляться в приоритетном порядке.</w:t>
      </w:r>
    </w:p>
    <w:p>
      <w:pPr>
        <w:spacing w:before="120" w:line="276" w:lineRule="auto"/>
      </w:pPr>
      <w:r>
        <w:t>24. Органы центрального и местного публичного управления снизят институциональное потребление топлива минимум на 20% и расход электроэнергии на столичное/уличное общественное освещение минимум на 50%, за исключением критических служб.</w:t>
      </w:r>
    </w:p>
    <w:p>
      <w:pPr>
        <w:spacing w:before="120" w:line="276" w:lineRule="auto"/>
      </w:pPr>
      <w:r>
        <w:t>25. В целях предотвращения рисков отключения электроэнергии с 26 сентября 2026 года вводятся меры по снижению потребления согласно приложению.</w:t>
      </w:r>
    </w:p>
    <w:p>
      <w:pPr>
        <w:spacing w:before="120" w:line="276" w:lineRule="auto"/>
      </w:pPr>
      <w:r>
        <w:t>26. Чрезвычайное положение не затрагивает процедуры изменения или прекращения службы для персонала из группы «Общественный порядок и безопасность государства».</w:t>
      </w:r>
    </w:p>
    <w:p>
      <w:pPr>
        <w:spacing w:before="120" w:line="276" w:lineRule="auto"/>
      </w:pPr>
      <w:r>
        <w:t>27. Меры вводятся через приказы исполнительного характера, публикуются в день подписания и передаются Правительству и Парламенту в течение 72 часов.</w:t>
      </w:r>
    </w:p>
    <w:p>
      <w:pPr>
        <w:spacing w:before="120" w:line="276" w:lineRule="auto"/>
      </w:pPr>
      <w:r>
        <w:t>28. Настоящее решение является обязательным для всех органов, учреждений, агентов и граждан, вступает в силу 26 сентября 2026 года.</w:t>
      </w:r>
    </w:p>
    <w:p>
      <w:pPr>
        <w:spacing w:before="120" w:line="276" w:lineRule="auto"/>
      </w:pPr>
      <w:r>
        <w:t>29. Мониторинг исполнения решения возлагается на Национальный центр по управлению кризисами.</w:t>
      </w:r>
    </w:p>
    <w:p>
      <w:r>
        <w:br w:type="page"/>
      </w:r>
    </w:p>
    <w:p>
      <w:pPr>
        <w:jc w:val="right"/>
      </w:pPr>
      <w:r>
        <w:rPr>
          <w:i/>
        </w:rPr>
        <w:t>Приложение к Решению Национальной комиссии</w:t>
        <w:br/>
        <w:t>по управлению кризисами № 8 от 25 сентября 2026 года</w:t>
        <w:br/>
      </w:r>
    </w:p>
    <w:p>
      <w:pPr>
        <w:jc w:val="center"/>
      </w:pPr>
      <w:r>
        <w:rPr>
          <w:b/>
        </w:rPr>
        <w:t>МЕРЫ ПО СНИЖЕНИЮ ПОТРЕБЛЕНИЯ</w:t>
      </w:r>
    </w:p>
    <w:p>
      <w:pPr>
        <w:spacing w:before="120" w:line="276" w:lineRule="auto"/>
      </w:pPr>
      <w:r>
        <w:t>1. Администраторы общественных зданий и коммерческих объектов обеспечат:</w:t>
        <w:br/>
        <w:t>1.1. снижение внутреннего освещения зданий минимум на 30%, где это возможно, и его немедленное отключение в незанятых помещениях;</w:t>
        <w:br/>
        <w:t>1.2. отключение фонтанов, витрин, декоративного, архитектурного и рекламного освещения, за исключением вывесок фирм в рабочее время;</w:t>
        <w:br/>
        <w:t>1.3. ограничение работы эскалаторов в пиковые интервалы: с 06:00 до 09:00 и с 18:00 до 22:00.</w:t>
      </w:r>
    </w:p>
    <w:p>
      <w:pPr>
        <w:spacing w:before="120" w:line="276" w:lineRule="auto"/>
      </w:pPr>
      <w:r>
        <w:t>2. Предприятия с энергоемким производственным процессом организуют график работы так, чтобы процессы с наибольшим потреблением выполнялись вне пиковых интервалов: 06:00-09:00 и 18:00-22:00.</w:t>
      </w:r>
    </w:p>
    <w:p>
      <w:pPr>
        <w:spacing w:before="120" w:line="276" w:lineRule="auto"/>
      </w:pPr>
      <w:r>
        <w:t>3. Администраторы предприятий водоснабжения и водоотведения отрегулируют режим работы насосов для минимизации потребления в периоды 06:00-09:00 и 18:00-22:00.</w:t>
      </w:r>
    </w:p>
    <w:p>
      <w:pPr>
        <w:spacing w:before="120" w:line="276" w:lineRule="auto"/>
      </w:pPr>
      <w:r>
        <w:t>4. Органы власти примут меры по снижению потребления в часы пик. Запрещается отключение от электроэнергии медико-санитарных учреждений, за исключением крупных аварий.</w:t>
      </w:r>
    </w:p>
    <w:p>
      <w:pPr>
        <w:spacing w:before="120" w:line="276" w:lineRule="auto"/>
      </w:pPr>
      <w:r>
        <w:t>5. Администраторы жилых многоквартирных домов разместят объявление: «В связи с риском перерывов в электроснабжении в часы пик, не рекомендуется пользоваться лифтом в интервалах с 06:00 до 09:00 и с 18:00 до 22:00».</w:t>
      </w:r>
    </w:p>
    <w:p>
      <w:pPr>
        <w:spacing w:before="120" w:line="276" w:lineRule="auto"/>
      </w:pPr>
      <w:r>
        <w:t>6. Медиавещатели в прайм-тайм обеспечат трансляцию информационных материалов по повышению энергоэффективности.</w:t>
      </w:r>
    </w:p>
    <w:p>
      <w:r>
        <w:br/>
        <w:t>Премьер-министр,</w:t>
        <w:br/>
        <w:t>Председатель Комиссии: Василе ТОФАН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